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261" w:rsidRPr="00E77261" w:rsidRDefault="00E77261" w:rsidP="00E77261">
      <w:pPr>
        <w:shd w:val="clear" w:color="auto" w:fill="FFFFFF"/>
        <w:spacing w:after="525" w:line="240" w:lineRule="auto"/>
        <w:jc w:val="both"/>
        <w:rPr>
          <w:rFonts w:ascii="Arial" w:eastAsia="Times New Roman" w:hAnsi="Arial" w:cs="Arial"/>
          <w:b/>
          <w:i/>
          <w:color w:val="333333"/>
          <w:sz w:val="27"/>
          <w:szCs w:val="27"/>
          <w:u w:val="single"/>
          <w:lang w:eastAsia="cs-CZ"/>
        </w:rPr>
      </w:pPr>
      <w:bookmarkStart w:id="0" w:name="_GoBack"/>
      <w:bookmarkEnd w:id="0"/>
      <w:r w:rsidRPr="006A7205">
        <w:rPr>
          <w:rFonts w:ascii="Arial" w:eastAsia="Times New Roman" w:hAnsi="Arial" w:cs="Arial"/>
          <w:b/>
          <w:i/>
          <w:color w:val="333333"/>
          <w:sz w:val="27"/>
          <w:szCs w:val="27"/>
          <w:u w:val="single"/>
          <w:lang w:eastAsia="cs-CZ"/>
        </w:rPr>
        <w:t xml:space="preserve">Obecné podmínky při návrhu </w:t>
      </w:r>
      <w:r>
        <w:rPr>
          <w:rFonts w:ascii="Arial" w:eastAsia="Times New Roman" w:hAnsi="Arial" w:cs="Arial"/>
          <w:b/>
          <w:i/>
          <w:color w:val="333333"/>
          <w:sz w:val="27"/>
          <w:szCs w:val="27"/>
          <w:u w:val="single"/>
          <w:lang w:eastAsia="cs-CZ"/>
        </w:rPr>
        <w:t>zkapacitnění stávající</w:t>
      </w:r>
      <w:r w:rsidRPr="006A7205">
        <w:rPr>
          <w:rFonts w:ascii="Arial" w:eastAsia="Times New Roman" w:hAnsi="Arial" w:cs="Arial"/>
          <w:b/>
          <w:i/>
          <w:color w:val="333333"/>
          <w:sz w:val="27"/>
          <w:szCs w:val="27"/>
          <w:u w:val="single"/>
          <w:lang w:eastAsia="cs-CZ"/>
        </w:rPr>
        <w:t xml:space="preserve"> vodohospodářské </w:t>
      </w:r>
      <w:r w:rsidRPr="00E77261">
        <w:rPr>
          <w:rFonts w:ascii="Arial" w:eastAsia="Times New Roman" w:hAnsi="Arial" w:cs="Arial"/>
          <w:b/>
          <w:i/>
          <w:color w:val="333333"/>
          <w:sz w:val="27"/>
          <w:szCs w:val="27"/>
          <w:u w:val="single"/>
          <w:lang w:eastAsia="cs-CZ"/>
        </w:rPr>
        <w:t>infrastruktury</w:t>
      </w:r>
    </w:p>
    <w:p w:rsidR="00E77261" w:rsidRPr="00E77261" w:rsidRDefault="00E77261" w:rsidP="00E77261">
      <w:pPr>
        <w:numPr>
          <w:ilvl w:val="0"/>
          <w:numId w:val="5"/>
        </w:numPr>
        <w:spacing w:after="0" w:line="240" w:lineRule="auto"/>
        <w:ind w:left="360" w:right="284"/>
        <w:jc w:val="both"/>
        <w:rPr>
          <w:rFonts w:ascii="Arial" w:hAnsi="Arial" w:cs="Arial"/>
          <w:b/>
          <w:sz w:val="27"/>
          <w:szCs w:val="27"/>
        </w:rPr>
      </w:pPr>
      <w:r w:rsidRPr="00E77261">
        <w:rPr>
          <w:rFonts w:ascii="Arial" w:hAnsi="Arial" w:cs="Arial"/>
          <w:b/>
          <w:sz w:val="27"/>
          <w:szCs w:val="27"/>
        </w:rPr>
        <w:t xml:space="preserve">Stavebně-technické podmínky </w:t>
      </w:r>
    </w:p>
    <w:p w:rsidR="00E77261" w:rsidRPr="00E77261" w:rsidRDefault="00E77261" w:rsidP="00E77261">
      <w:pPr>
        <w:numPr>
          <w:ilvl w:val="1"/>
          <w:numId w:val="5"/>
        </w:numPr>
        <w:spacing w:after="0" w:line="240" w:lineRule="auto"/>
        <w:ind w:left="426" w:hanging="426"/>
        <w:jc w:val="both"/>
        <w:outlineLvl w:val="0"/>
        <w:rPr>
          <w:rFonts w:ascii="Arial" w:hAnsi="Arial" w:cs="Arial"/>
          <w:sz w:val="27"/>
          <w:szCs w:val="27"/>
          <w:u w:val="single"/>
        </w:rPr>
      </w:pPr>
      <w:r w:rsidRPr="00E77261">
        <w:rPr>
          <w:rFonts w:ascii="Arial" w:hAnsi="Arial" w:cs="Arial"/>
          <w:sz w:val="27"/>
          <w:szCs w:val="27"/>
          <w:u w:val="single"/>
        </w:rPr>
        <w:t>Zákres liniových vedení slouží pouze jako orientační informace</w:t>
      </w:r>
      <w:r w:rsidRPr="00E77261">
        <w:rPr>
          <w:rFonts w:ascii="Arial" w:hAnsi="Arial" w:cs="Arial"/>
          <w:sz w:val="27"/>
          <w:szCs w:val="27"/>
        </w:rPr>
        <w:t xml:space="preserve"> o jeho existenci a nenahrazuje skutečné umístění zařízení v zájmovém území. Skutečné umístění zařízení je nutno zjistit vytýčením přímo na místě, nejlépe před zahájením projektových prací. </w:t>
      </w:r>
    </w:p>
    <w:p w:rsidR="00E77261" w:rsidRPr="00E77261" w:rsidRDefault="00E77261" w:rsidP="00E77261">
      <w:pPr>
        <w:pStyle w:val="Odstavecseseznamem"/>
        <w:numPr>
          <w:ilvl w:val="0"/>
          <w:numId w:val="6"/>
        </w:numPr>
        <w:spacing w:after="0" w:line="240" w:lineRule="auto"/>
        <w:jc w:val="both"/>
        <w:outlineLvl w:val="0"/>
        <w:rPr>
          <w:rFonts w:ascii="Arial" w:hAnsi="Arial" w:cs="Arial"/>
          <w:sz w:val="27"/>
          <w:szCs w:val="27"/>
          <w:u w:val="single"/>
        </w:rPr>
      </w:pPr>
      <w:r w:rsidRPr="00E77261">
        <w:rPr>
          <w:rFonts w:ascii="Arial" w:eastAsia="Calibri" w:hAnsi="Arial" w:cs="Arial"/>
          <w:bCs/>
          <w:sz w:val="27"/>
          <w:szCs w:val="27"/>
        </w:rPr>
        <w:t xml:space="preserve">Vytýčení skutečného umístění zařízení ve správě společnosti SčVK v rámci územní působnosti vlastníka stávající infrastruktury spol. </w:t>
      </w:r>
      <w:r w:rsidRPr="00E77261">
        <w:rPr>
          <w:rFonts w:ascii="Arial" w:eastAsia="Calibri" w:hAnsi="Arial" w:cs="Arial"/>
          <w:b/>
          <w:bCs/>
          <w:sz w:val="27"/>
          <w:szCs w:val="27"/>
        </w:rPr>
        <w:t>SVS</w:t>
      </w:r>
      <w:r w:rsidRPr="00E77261">
        <w:rPr>
          <w:rFonts w:ascii="Arial" w:eastAsia="Calibri" w:hAnsi="Arial" w:cs="Arial"/>
          <w:bCs/>
          <w:sz w:val="27"/>
          <w:szCs w:val="27"/>
        </w:rPr>
        <w:t xml:space="preserve"> je nutné objednat na: tel. 601 267 267 / 840 111 111; </w:t>
      </w:r>
      <w:hyperlink r:id="rId5" w:tgtFrame="_blank" w:history="1">
        <w:r w:rsidRPr="00E77261">
          <w:rPr>
            <w:rFonts w:ascii="Arial" w:eastAsia="Calibri" w:hAnsi="Arial" w:cs="Arial"/>
            <w:bCs/>
            <w:sz w:val="27"/>
            <w:szCs w:val="27"/>
          </w:rPr>
          <w:t>info@scvk.cz</w:t>
        </w:r>
      </w:hyperlink>
      <w:r w:rsidRPr="00E77261">
        <w:rPr>
          <w:rFonts w:ascii="Arial" w:eastAsia="Calibri" w:hAnsi="Arial" w:cs="Arial"/>
          <w:bCs/>
          <w:sz w:val="27"/>
          <w:szCs w:val="27"/>
        </w:rPr>
        <w:t xml:space="preserve">. V případě písemného objednání vystavujete objednávku na servisní organizaci </w:t>
      </w:r>
      <w:proofErr w:type="gramStart"/>
      <w:r w:rsidRPr="00E77261">
        <w:rPr>
          <w:rFonts w:ascii="Arial" w:eastAsia="Calibri" w:hAnsi="Arial" w:cs="Arial"/>
          <w:bCs/>
          <w:sz w:val="27"/>
          <w:szCs w:val="27"/>
        </w:rPr>
        <w:t>provozovatele - společnost</w:t>
      </w:r>
      <w:proofErr w:type="gramEnd"/>
      <w:r w:rsidRPr="00E77261">
        <w:rPr>
          <w:rFonts w:ascii="Arial" w:eastAsia="Calibri" w:hAnsi="Arial" w:cs="Arial"/>
          <w:bCs/>
          <w:sz w:val="27"/>
          <w:szCs w:val="27"/>
        </w:rPr>
        <w:t xml:space="preserve"> Severočeská servisní a.s. Upozorňujeme, že tato služba může být zpoplatněna.</w:t>
      </w:r>
    </w:p>
    <w:p w:rsidR="00E77261" w:rsidRPr="00E77261" w:rsidRDefault="00E77261" w:rsidP="00E77261">
      <w:pPr>
        <w:pStyle w:val="Odstavecseseznamem"/>
        <w:numPr>
          <w:ilvl w:val="0"/>
          <w:numId w:val="6"/>
        </w:numPr>
        <w:spacing w:after="0" w:line="240" w:lineRule="auto"/>
        <w:jc w:val="both"/>
        <w:outlineLvl w:val="0"/>
        <w:rPr>
          <w:rFonts w:ascii="Arial" w:eastAsia="Calibri" w:hAnsi="Arial" w:cs="Arial"/>
          <w:bCs/>
          <w:sz w:val="27"/>
          <w:szCs w:val="27"/>
        </w:rPr>
      </w:pPr>
      <w:r w:rsidRPr="00E77261">
        <w:rPr>
          <w:rFonts w:ascii="Arial" w:eastAsia="Calibri" w:hAnsi="Arial" w:cs="Arial"/>
          <w:bCs/>
          <w:sz w:val="27"/>
          <w:szCs w:val="27"/>
        </w:rPr>
        <w:t xml:space="preserve">Vytýčení skutečného umístění zařízení ve správě společnosti SčVK v rámci územní působnosti vlastníka stávající infrastruktury spol. </w:t>
      </w:r>
      <w:r w:rsidRPr="00E77261">
        <w:rPr>
          <w:rFonts w:ascii="Arial" w:eastAsia="Calibri" w:hAnsi="Arial" w:cs="Arial"/>
          <w:b/>
          <w:bCs/>
          <w:sz w:val="27"/>
          <w:szCs w:val="27"/>
        </w:rPr>
        <w:t>VHS Turnov</w:t>
      </w:r>
      <w:r w:rsidRPr="00E77261">
        <w:rPr>
          <w:rFonts w:ascii="Arial" w:eastAsia="Calibri" w:hAnsi="Arial" w:cs="Arial"/>
          <w:bCs/>
          <w:sz w:val="27"/>
          <w:szCs w:val="27"/>
        </w:rPr>
        <w:t xml:space="preserve"> je nutné objednat na: tel. 601 267 267 / 840 111 111; </w:t>
      </w:r>
      <w:hyperlink r:id="rId6" w:tgtFrame="_blank" w:history="1">
        <w:r w:rsidRPr="00E77261">
          <w:rPr>
            <w:rFonts w:ascii="Arial" w:eastAsia="Calibri" w:hAnsi="Arial" w:cs="Arial"/>
            <w:bCs/>
            <w:sz w:val="27"/>
            <w:szCs w:val="27"/>
          </w:rPr>
          <w:t>info@scvk.cz</w:t>
        </w:r>
      </w:hyperlink>
      <w:r w:rsidRPr="00E77261">
        <w:rPr>
          <w:rFonts w:ascii="Arial" w:eastAsia="Calibri" w:hAnsi="Arial" w:cs="Arial"/>
          <w:bCs/>
          <w:sz w:val="27"/>
          <w:szCs w:val="27"/>
        </w:rPr>
        <w:t>. Upozorňujeme, že tato služba může být zpoplatněna.</w:t>
      </w:r>
    </w:p>
    <w:p w:rsidR="00E77261" w:rsidRPr="00E77261" w:rsidRDefault="00E77261" w:rsidP="00E77261">
      <w:pPr>
        <w:numPr>
          <w:ilvl w:val="1"/>
          <w:numId w:val="5"/>
        </w:numPr>
        <w:spacing w:after="0" w:line="240" w:lineRule="auto"/>
        <w:ind w:left="426" w:hanging="426"/>
        <w:jc w:val="both"/>
        <w:outlineLvl w:val="0"/>
        <w:rPr>
          <w:rFonts w:ascii="Arial" w:hAnsi="Arial" w:cs="Arial"/>
          <w:b/>
          <w:sz w:val="27"/>
          <w:szCs w:val="27"/>
        </w:rPr>
      </w:pPr>
      <w:r w:rsidRPr="00E77261">
        <w:rPr>
          <w:rFonts w:ascii="Arial" w:hAnsi="Arial" w:cs="Arial"/>
          <w:b/>
          <w:sz w:val="27"/>
          <w:szCs w:val="27"/>
        </w:rPr>
        <w:t>V případě, že dojde ke střetu se zařízením v naší správě, jste povinen toto neprodleně oznámit na tel.  840 111 111 a projednat s naší společností.</w:t>
      </w:r>
    </w:p>
    <w:p w:rsidR="00E77261" w:rsidRPr="00E77261" w:rsidRDefault="00E77261" w:rsidP="00E77261">
      <w:pPr>
        <w:numPr>
          <w:ilvl w:val="1"/>
          <w:numId w:val="5"/>
        </w:numPr>
        <w:spacing w:after="0" w:line="240" w:lineRule="auto"/>
        <w:ind w:left="426" w:hanging="426"/>
        <w:jc w:val="both"/>
        <w:outlineLvl w:val="0"/>
        <w:rPr>
          <w:rFonts w:ascii="Arial" w:hAnsi="Arial" w:cs="Arial"/>
          <w:sz w:val="27"/>
          <w:szCs w:val="27"/>
        </w:rPr>
      </w:pPr>
      <w:r w:rsidRPr="00E77261">
        <w:rPr>
          <w:rFonts w:ascii="Arial" w:hAnsi="Arial" w:cs="Arial"/>
          <w:sz w:val="27"/>
          <w:szCs w:val="27"/>
        </w:rPr>
        <w:t>Pro provádění zemních, stavebních a ostatních prací v ochranném a bezpečnostním pásmu zařízení ve správě SčVK požadujeme plně respektovat toto zařízení, a to za dodržení všech předpisů a norem, které se k této činnosti vztahují.</w:t>
      </w:r>
    </w:p>
    <w:p w:rsidR="00E77261" w:rsidRPr="00E77261" w:rsidRDefault="00E77261" w:rsidP="00E77261">
      <w:pPr>
        <w:numPr>
          <w:ilvl w:val="1"/>
          <w:numId w:val="5"/>
        </w:numPr>
        <w:spacing w:after="0" w:line="240" w:lineRule="auto"/>
        <w:ind w:left="426" w:hanging="426"/>
        <w:jc w:val="both"/>
        <w:outlineLvl w:val="0"/>
        <w:rPr>
          <w:rFonts w:ascii="Arial" w:hAnsi="Arial" w:cs="Arial"/>
          <w:b/>
          <w:sz w:val="27"/>
          <w:szCs w:val="27"/>
        </w:rPr>
      </w:pPr>
      <w:r w:rsidRPr="00E77261">
        <w:rPr>
          <w:rFonts w:ascii="Arial" w:hAnsi="Arial" w:cs="Arial"/>
          <w:b/>
          <w:sz w:val="27"/>
          <w:szCs w:val="27"/>
        </w:rPr>
        <w:t xml:space="preserve">Dojde-li ke vstupu do ochranného pásma v průběhu prováděných či k odkrytí zařízení ve správě SčVK v průběhu realizace záměru požadujeme být přizváni na stavbu za účelem kontroly zařízení v naší správě a současně požadujeme, aby před zásypem došlo našimi pracovníky SčVK či pracovníky servisní organizace </w:t>
      </w:r>
      <w:proofErr w:type="gramStart"/>
      <w:r w:rsidRPr="00E77261">
        <w:rPr>
          <w:rFonts w:ascii="Arial" w:hAnsi="Arial" w:cs="Arial"/>
          <w:b/>
          <w:sz w:val="27"/>
          <w:szCs w:val="27"/>
        </w:rPr>
        <w:t xml:space="preserve">provozovatele - </w:t>
      </w:r>
      <w:r w:rsidRPr="00E77261">
        <w:rPr>
          <w:rFonts w:ascii="Arial" w:eastAsia="Calibri" w:hAnsi="Arial" w:cs="Arial"/>
          <w:b/>
          <w:bCs/>
          <w:sz w:val="27"/>
          <w:szCs w:val="27"/>
        </w:rPr>
        <w:t>společnosti</w:t>
      </w:r>
      <w:proofErr w:type="gramEnd"/>
      <w:r w:rsidRPr="00E77261">
        <w:rPr>
          <w:rFonts w:ascii="Arial" w:eastAsia="Calibri" w:hAnsi="Arial" w:cs="Arial"/>
          <w:b/>
          <w:bCs/>
          <w:sz w:val="27"/>
          <w:szCs w:val="27"/>
        </w:rPr>
        <w:t xml:space="preserve"> Severočeská servisní a.s. k zápisu souhlasu do stavebního deníku.</w:t>
      </w:r>
      <w:r w:rsidRPr="00E77261">
        <w:rPr>
          <w:rFonts w:ascii="Arial" w:hAnsi="Arial" w:cs="Arial"/>
          <w:b/>
          <w:sz w:val="27"/>
          <w:szCs w:val="27"/>
        </w:rPr>
        <w:t xml:space="preserve"> </w:t>
      </w:r>
    </w:p>
    <w:p w:rsidR="00E77261" w:rsidRPr="00E77261" w:rsidRDefault="00E77261" w:rsidP="00E77261">
      <w:pPr>
        <w:numPr>
          <w:ilvl w:val="1"/>
          <w:numId w:val="5"/>
        </w:numPr>
        <w:spacing w:after="0" w:line="240" w:lineRule="auto"/>
        <w:ind w:left="426" w:hanging="426"/>
        <w:jc w:val="both"/>
        <w:outlineLvl w:val="0"/>
        <w:rPr>
          <w:rFonts w:ascii="Arial" w:hAnsi="Arial" w:cs="Arial"/>
          <w:i/>
          <w:sz w:val="27"/>
          <w:szCs w:val="27"/>
          <w:u w:val="single"/>
        </w:rPr>
      </w:pPr>
      <w:r w:rsidRPr="00E77261">
        <w:rPr>
          <w:rFonts w:ascii="Arial" w:hAnsi="Arial" w:cs="Arial"/>
          <w:i/>
          <w:sz w:val="27"/>
          <w:szCs w:val="27"/>
          <w:u w:val="single"/>
        </w:rPr>
        <w:t xml:space="preserve">Při případném nedodržení těchto podmínek bude naše společnost požadovat náhradu způsobených škod a uvedení vzniklých nesrovnalostí do souladu s právními předpisy a </w:t>
      </w:r>
      <w:proofErr w:type="gramStart"/>
      <w:r w:rsidRPr="00E77261">
        <w:rPr>
          <w:rFonts w:ascii="Arial" w:hAnsi="Arial" w:cs="Arial"/>
          <w:i/>
          <w:sz w:val="27"/>
          <w:szCs w:val="27"/>
          <w:u w:val="single"/>
        </w:rPr>
        <w:t>normami.+</w:t>
      </w:r>
      <w:proofErr w:type="gramEnd"/>
    </w:p>
    <w:p w:rsidR="00E77261" w:rsidRPr="00E77261" w:rsidRDefault="00E77261" w:rsidP="00E77261">
      <w:pPr>
        <w:spacing w:after="0" w:line="240" w:lineRule="auto"/>
        <w:ind w:left="426"/>
        <w:jc w:val="both"/>
        <w:outlineLvl w:val="0"/>
        <w:rPr>
          <w:rFonts w:ascii="Arial" w:hAnsi="Arial" w:cs="Arial"/>
          <w:i/>
          <w:sz w:val="27"/>
          <w:szCs w:val="27"/>
          <w:u w:val="single"/>
        </w:rPr>
      </w:pPr>
    </w:p>
    <w:p w:rsidR="00E77261" w:rsidRPr="00E77261" w:rsidRDefault="00E77261" w:rsidP="00E77261">
      <w:pPr>
        <w:numPr>
          <w:ilvl w:val="0"/>
          <w:numId w:val="5"/>
        </w:numPr>
        <w:spacing w:after="0" w:line="240" w:lineRule="auto"/>
        <w:ind w:left="360" w:right="284"/>
        <w:jc w:val="both"/>
        <w:rPr>
          <w:rFonts w:ascii="Arial" w:hAnsi="Arial" w:cs="Arial"/>
          <w:b/>
          <w:sz w:val="27"/>
          <w:szCs w:val="27"/>
        </w:rPr>
      </w:pPr>
      <w:r w:rsidRPr="00E77261">
        <w:rPr>
          <w:rFonts w:ascii="Arial" w:hAnsi="Arial" w:cs="Arial"/>
          <w:b/>
          <w:sz w:val="27"/>
          <w:szCs w:val="27"/>
        </w:rPr>
        <w:t>Podmínky pro zpracování projektové dokumentace</w:t>
      </w:r>
    </w:p>
    <w:p w:rsidR="00E77261" w:rsidRPr="00E77261" w:rsidRDefault="00E77261" w:rsidP="00E77261">
      <w:pPr>
        <w:pStyle w:val="Odstavecseseznamem"/>
        <w:numPr>
          <w:ilvl w:val="1"/>
          <w:numId w:val="5"/>
        </w:numPr>
        <w:spacing w:after="0" w:line="240" w:lineRule="auto"/>
        <w:jc w:val="both"/>
        <w:outlineLvl w:val="0"/>
        <w:rPr>
          <w:rFonts w:ascii="Arial" w:hAnsi="Arial" w:cs="Arial"/>
          <w:sz w:val="27"/>
          <w:szCs w:val="27"/>
        </w:rPr>
      </w:pPr>
      <w:r w:rsidRPr="00E77261">
        <w:rPr>
          <w:rFonts w:ascii="Arial" w:hAnsi="Arial" w:cs="Arial"/>
          <w:sz w:val="27"/>
          <w:szCs w:val="27"/>
          <w:u w:val="single"/>
        </w:rPr>
        <w:t>V rámci zpracování projektové dokumentace VH staveb požadujeme zejména:</w:t>
      </w:r>
      <w:r w:rsidRPr="00E77261">
        <w:rPr>
          <w:rFonts w:ascii="Arial" w:hAnsi="Arial" w:cs="Arial"/>
          <w:sz w:val="27"/>
          <w:szCs w:val="27"/>
        </w:rPr>
        <w:t xml:space="preserve"> </w:t>
      </w:r>
    </w:p>
    <w:p w:rsidR="00E77261" w:rsidRPr="00E77261" w:rsidRDefault="00E77261" w:rsidP="00E77261">
      <w:pPr>
        <w:numPr>
          <w:ilvl w:val="2"/>
          <w:numId w:val="5"/>
        </w:numPr>
        <w:spacing w:after="0" w:line="240" w:lineRule="auto"/>
        <w:jc w:val="both"/>
        <w:outlineLvl w:val="0"/>
        <w:rPr>
          <w:rFonts w:ascii="Arial" w:hAnsi="Arial" w:cs="Arial"/>
          <w:sz w:val="27"/>
          <w:szCs w:val="27"/>
        </w:rPr>
      </w:pPr>
      <w:r w:rsidRPr="00E77261">
        <w:rPr>
          <w:rFonts w:ascii="Arial" w:hAnsi="Arial" w:cs="Arial"/>
          <w:sz w:val="27"/>
          <w:szCs w:val="27"/>
        </w:rPr>
        <w:t xml:space="preserve">Projektová dokumentace VH staveb musí být ověřena autorizovanou osobou příslušné specializace a provedena v souladu se zákonem č. 283/2021 Sb. stavební zákon, ve znění pozdějších </w:t>
      </w:r>
      <w:r w:rsidRPr="00E77261">
        <w:rPr>
          <w:rFonts w:ascii="Arial" w:hAnsi="Arial" w:cs="Arial"/>
          <w:sz w:val="27"/>
          <w:szCs w:val="27"/>
        </w:rPr>
        <w:lastRenderedPageBreak/>
        <w:t xml:space="preserve">předpisů, resp. vyhláškou č. 131/2024 Sb. o dokumentaci staveb, ve znění pozdějších předpisů.  </w:t>
      </w:r>
    </w:p>
    <w:p w:rsidR="00E77261" w:rsidRPr="00E77261" w:rsidRDefault="00E77261" w:rsidP="00E77261">
      <w:pPr>
        <w:numPr>
          <w:ilvl w:val="2"/>
          <w:numId w:val="5"/>
        </w:numPr>
        <w:spacing w:after="0" w:line="240" w:lineRule="auto"/>
        <w:jc w:val="both"/>
        <w:outlineLvl w:val="0"/>
        <w:rPr>
          <w:rFonts w:ascii="Arial" w:hAnsi="Arial" w:cs="Arial"/>
          <w:sz w:val="27"/>
          <w:szCs w:val="27"/>
        </w:rPr>
      </w:pPr>
      <w:r w:rsidRPr="00E77261">
        <w:rPr>
          <w:rFonts w:ascii="Arial" w:hAnsi="Arial" w:cs="Arial"/>
          <w:sz w:val="27"/>
          <w:szCs w:val="27"/>
        </w:rPr>
        <w:t xml:space="preserve">Projektová dokumentace nově navrhované VHI musí být v souladu s Technickými standardy VH staveb, včetně přípojek, které jsou stanoveny za účelem zabezpečení jednotného technického a konstrukčního řešení výstavby vodohospodářských staveb v oblasti působnosti SVS a SčVK. Technické standardy VH staveb jsou k dispozici na </w:t>
      </w:r>
      <w:hyperlink r:id="rId7" w:history="1">
        <w:r w:rsidRPr="00E77261">
          <w:rPr>
            <w:rStyle w:val="Hypertextovodkaz"/>
            <w:rFonts w:ascii="Arial" w:hAnsi="Arial" w:cs="Arial"/>
            <w:sz w:val="27"/>
            <w:szCs w:val="27"/>
          </w:rPr>
          <w:t>www.svs.cz</w:t>
        </w:r>
      </w:hyperlink>
      <w:r w:rsidRPr="00E77261">
        <w:rPr>
          <w:rStyle w:val="Hypertextovodkaz"/>
          <w:rFonts w:ascii="Arial" w:hAnsi="Arial" w:cs="Arial"/>
          <w:sz w:val="27"/>
          <w:szCs w:val="27"/>
        </w:rPr>
        <w:t>.</w:t>
      </w:r>
      <w:r w:rsidRPr="00E77261">
        <w:rPr>
          <w:rFonts w:ascii="Arial" w:hAnsi="Arial" w:cs="Arial"/>
          <w:sz w:val="27"/>
          <w:szCs w:val="27"/>
        </w:rPr>
        <w:t xml:space="preserve"> Technické standardy vodovodních a kanalizačních přípojek jsou k dispozici na </w:t>
      </w:r>
      <w:hyperlink r:id="rId8" w:history="1">
        <w:r w:rsidRPr="00E77261">
          <w:rPr>
            <w:rStyle w:val="Hypertextovodkaz"/>
            <w:rFonts w:ascii="Arial" w:hAnsi="Arial" w:cs="Arial"/>
            <w:sz w:val="27"/>
            <w:szCs w:val="27"/>
          </w:rPr>
          <w:t>www.scvk.cz</w:t>
        </w:r>
      </w:hyperlink>
      <w:r w:rsidRPr="00E77261">
        <w:rPr>
          <w:rFonts w:ascii="Arial" w:hAnsi="Arial" w:cs="Arial"/>
          <w:sz w:val="27"/>
          <w:szCs w:val="27"/>
        </w:rPr>
        <w:t xml:space="preserve"> - Obecné technické podmínky provozovatele.</w:t>
      </w:r>
    </w:p>
    <w:p w:rsidR="00E77261" w:rsidRPr="00E77261" w:rsidRDefault="00E77261" w:rsidP="00E77261">
      <w:pPr>
        <w:numPr>
          <w:ilvl w:val="1"/>
          <w:numId w:val="5"/>
        </w:numPr>
        <w:spacing w:after="0" w:line="240" w:lineRule="auto"/>
        <w:ind w:left="426" w:hanging="426"/>
        <w:jc w:val="both"/>
        <w:outlineLvl w:val="0"/>
        <w:rPr>
          <w:rFonts w:ascii="Arial" w:hAnsi="Arial" w:cs="Arial"/>
          <w:i/>
          <w:sz w:val="27"/>
          <w:szCs w:val="27"/>
        </w:rPr>
      </w:pPr>
      <w:r w:rsidRPr="00E77261">
        <w:rPr>
          <w:rFonts w:ascii="Arial" w:hAnsi="Arial" w:cs="Arial"/>
          <w:sz w:val="27"/>
          <w:szCs w:val="27"/>
          <w:u w:val="single"/>
        </w:rPr>
        <w:t>V souvislosti s podmínkami zkapacitnění stávající VHI</w:t>
      </w:r>
      <w:r w:rsidRPr="00E77261">
        <w:rPr>
          <w:rFonts w:ascii="Arial" w:hAnsi="Arial" w:cs="Arial"/>
          <w:sz w:val="27"/>
          <w:szCs w:val="27"/>
        </w:rPr>
        <w:t xml:space="preserve"> dle § 168 odst. b) zákona č. 283/2021 Sb., stavební zákon, ve znění pozdějších předpisů požadujeme vypořádání stavby v rámci </w:t>
      </w:r>
      <w:r w:rsidRPr="00E77261">
        <w:rPr>
          <w:rFonts w:ascii="Arial" w:hAnsi="Arial" w:cs="Arial"/>
          <w:b/>
          <w:sz w:val="27"/>
          <w:szCs w:val="27"/>
        </w:rPr>
        <w:t>„Souboru staveb“ dle § 5 odst. 3 zákona č. 283/2021 Sb., stavební zákon</w:t>
      </w:r>
      <w:r w:rsidRPr="00E77261">
        <w:rPr>
          <w:rFonts w:ascii="Arial" w:hAnsi="Arial" w:cs="Arial"/>
          <w:sz w:val="27"/>
          <w:szCs w:val="27"/>
        </w:rPr>
        <w:t xml:space="preserve">, ve znění pozdějších předpisů. </w:t>
      </w:r>
    </w:p>
    <w:p w:rsidR="00E77261" w:rsidRPr="00E77261" w:rsidRDefault="00E77261" w:rsidP="00E77261">
      <w:pPr>
        <w:numPr>
          <w:ilvl w:val="2"/>
          <w:numId w:val="5"/>
        </w:numPr>
        <w:spacing w:after="0" w:line="240" w:lineRule="auto"/>
        <w:jc w:val="both"/>
        <w:outlineLvl w:val="0"/>
        <w:rPr>
          <w:rFonts w:ascii="Arial" w:hAnsi="Arial" w:cs="Arial"/>
          <w:i/>
          <w:sz w:val="27"/>
          <w:szCs w:val="27"/>
        </w:rPr>
      </w:pPr>
      <w:r w:rsidRPr="00E77261">
        <w:rPr>
          <w:rFonts w:ascii="Arial" w:hAnsi="Arial" w:cs="Arial"/>
          <w:b/>
          <w:sz w:val="27"/>
          <w:szCs w:val="27"/>
        </w:rPr>
        <w:t>Stavbou hlavní v souboru staveb</w:t>
      </w:r>
      <w:r w:rsidRPr="00E77261">
        <w:rPr>
          <w:rFonts w:ascii="Arial" w:hAnsi="Arial" w:cs="Arial"/>
          <w:sz w:val="27"/>
          <w:szCs w:val="27"/>
        </w:rPr>
        <w:t xml:space="preserve"> dle § 5 odst. 4 zákona č. 283/2021 Sb., stavební zákon, ve znění pozdějších předpisů bude stanovena stavba vyvolávající potřebu napojení (jako např. RD, hotel, průmyslová hala) anebo stavba výstavba nové VHI (vodovod, kanalizace, vodojem, čerpací stanice, čerpací stanice odpadních vod apod.). </w:t>
      </w:r>
    </w:p>
    <w:p w:rsidR="00E77261" w:rsidRPr="00E77261" w:rsidRDefault="00E77261" w:rsidP="00E77261">
      <w:pPr>
        <w:numPr>
          <w:ilvl w:val="2"/>
          <w:numId w:val="5"/>
        </w:numPr>
        <w:spacing w:after="0" w:line="240" w:lineRule="auto"/>
        <w:jc w:val="both"/>
        <w:outlineLvl w:val="0"/>
        <w:rPr>
          <w:rFonts w:ascii="Arial" w:hAnsi="Arial" w:cs="Arial"/>
          <w:i/>
          <w:sz w:val="27"/>
          <w:szCs w:val="27"/>
        </w:rPr>
      </w:pPr>
      <w:r w:rsidRPr="00E77261">
        <w:rPr>
          <w:rFonts w:ascii="Arial" w:hAnsi="Arial" w:cs="Arial"/>
          <w:b/>
          <w:sz w:val="27"/>
          <w:szCs w:val="27"/>
        </w:rPr>
        <w:t>Vedlejší stavbou v souboru staveb</w:t>
      </w:r>
      <w:r w:rsidRPr="00E77261">
        <w:rPr>
          <w:rFonts w:ascii="Arial" w:hAnsi="Arial" w:cs="Arial"/>
          <w:sz w:val="27"/>
          <w:szCs w:val="27"/>
        </w:rPr>
        <w:t xml:space="preserve"> bude stanovena související stavba zabezpečující uživatelnost stavby hlavní, případně stavba, která doplňuje účel užívání stavby hlavní (jako např. přeložka, zkapacitnění, přípojky). </w:t>
      </w:r>
    </w:p>
    <w:p w:rsidR="00E77261" w:rsidRPr="00E77261" w:rsidRDefault="00E77261" w:rsidP="00E77261">
      <w:pPr>
        <w:numPr>
          <w:ilvl w:val="2"/>
          <w:numId w:val="5"/>
        </w:numPr>
        <w:spacing w:after="0" w:line="240" w:lineRule="auto"/>
        <w:jc w:val="both"/>
        <w:outlineLvl w:val="0"/>
        <w:rPr>
          <w:rFonts w:ascii="Arial" w:hAnsi="Arial" w:cs="Arial"/>
          <w:i/>
          <w:sz w:val="27"/>
          <w:szCs w:val="27"/>
        </w:rPr>
      </w:pPr>
      <w:r w:rsidRPr="00E77261">
        <w:rPr>
          <w:rFonts w:ascii="Arial" w:hAnsi="Arial" w:cs="Arial"/>
          <w:b/>
          <w:sz w:val="27"/>
          <w:szCs w:val="27"/>
        </w:rPr>
        <w:t xml:space="preserve">Číslování hlavních a vedlejších staveb: </w:t>
      </w:r>
      <w:r w:rsidRPr="00E77261">
        <w:rPr>
          <w:rFonts w:ascii="Arial" w:hAnsi="Arial" w:cs="Arial"/>
          <w:sz w:val="27"/>
          <w:szCs w:val="27"/>
        </w:rPr>
        <w:t>Hlavní stavba bude označena SO.01., Vedlejší stavby budou označeny SO.02., SO.03, atd.</w:t>
      </w:r>
    </w:p>
    <w:p w:rsidR="00E77261" w:rsidRPr="00E77261" w:rsidRDefault="00E77261" w:rsidP="00E77261">
      <w:pPr>
        <w:spacing w:after="0" w:line="240" w:lineRule="auto"/>
        <w:jc w:val="both"/>
        <w:outlineLvl w:val="0"/>
        <w:rPr>
          <w:rFonts w:ascii="Arial" w:hAnsi="Arial" w:cs="Arial"/>
          <w:i/>
          <w:sz w:val="27"/>
          <w:szCs w:val="27"/>
        </w:rPr>
      </w:pPr>
    </w:p>
    <w:p w:rsidR="00E77261" w:rsidRPr="00E77261" w:rsidRDefault="00E77261" w:rsidP="00E77261">
      <w:pPr>
        <w:numPr>
          <w:ilvl w:val="0"/>
          <w:numId w:val="5"/>
        </w:numPr>
        <w:spacing w:after="0" w:line="240" w:lineRule="auto"/>
        <w:ind w:left="284" w:right="284"/>
        <w:jc w:val="both"/>
        <w:rPr>
          <w:rFonts w:ascii="Arial" w:hAnsi="Arial" w:cs="Arial"/>
          <w:b/>
          <w:sz w:val="27"/>
          <w:szCs w:val="27"/>
        </w:rPr>
      </w:pPr>
      <w:r w:rsidRPr="00E77261">
        <w:rPr>
          <w:rFonts w:ascii="Arial" w:hAnsi="Arial" w:cs="Arial"/>
          <w:b/>
          <w:sz w:val="27"/>
          <w:szCs w:val="27"/>
        </w:rPr>
        <w:t xml:space="preserve">Podmínky </w:t>
      </w:r>
      <w:proofErr w:type="spellStart"/>
      <w:r w:rsidRPr="00E77261">
        <w:rPr>
          <w:rFonts w:ascii="Arial" w:hAnsi="Arial" w:cs="Arial"/>
          <w:b/>
          <w:sz w:val="27"/>
          <w:szCs w:val="27"/>
        </w:rPr>
        <w:t>majetko</w:t>
      </w:r>
      <w:proofErr w:type="spellEnd"/>
      <w:r w:rsidRPr="00E77261">
        <w:rPr>
          <w:rFonts w:ascii="Arial" w:hAnsi="Arial" w:cs="Arial"/>
          <w:b/>
          <w:sz w:val="27"/>
          <w:szCs w:val="27"/>
        </w:rPr>
        <w:t>-právního projednání vlastníků VHI</w:t>
      </w:r>
    </w:p>
    <w:p w:rsidR="00E77261" w:rsidRPr="00E77261" w:rsidRDefault="00E77261" w:rsidP="00E77261">
      <w:pPr>
        <w:numPr>
          <w:ilvl w:val="1"/>
          <w:numId w:val="5"/>
        </w:numPr>
        <w:spacing w:after="0" w:line="240" w:lineRule="auto"/>
        <w:jc w:val="both"/>
        <w:outlineLvl w:val="0"/>
        <w:rPr>
          <w:rFonts w:ascii="Arial" w:hAnsi="Arial" w:cs="Arial"/>
          <w:sz w:val="27"/>
          <w:szCs w:val="27"/>
        </w:rPr>
      </w:pPr>
      <w:r w:rsidRPr="00E77261">
        <w:rPr>
          <w:rFonts w:ascii="Arial" w:hAnsi="Arial" w:cs="Arial"/>
          <w:sz w:val="27"/>
          <w:szCs w:val="27"/>
        </w:rPr>
        <w:t xml:space="preserve">V případech, kdy </w:t>
      </w:r>
      <w:r w:rsidRPr="00E77261">
        <w:rPr>
          <w:rFonts w:ascii="Arial" w:hAnsi="Arial" w:cs="Arial"/>
          <w:b/>
          <w:sz w:val="27"/>
          <w:szCs w:val="27"/>
        </w:rPr>
        <w:t>navrhované zkapacitnění VHI je ve vlastnictví společnosti SVS</w:t>
      </w:r>
      <w:r w:rsidRPr="00E77261">
        <w:rPr>
          <w:rFonts w:ascii="Arial" w:hAnsi="Arial" w:cs="Arial"/>
          <w:sz w:val="27"/>
          <w:szCs w:val="27"/>
        </w:rPr>
        <w:t xml:space="preserve">, IČO 49099469, se sídlem </w:t>
      </w:r>
      <w:proofErr w:type="spellStart"/>
      <w:r w:rsidRPr="00E77261">
        <w:rPr>
          <w:rFonts w:ascii="Arial" w:hAnsi="Arial" w:cs="Arial"/>
          <w:sz w:val="27"/>
          <w:szCs w:val="27"/>
        </w:rPr>
        <w:t>Přítkovská</w:t>
      </w:r>
      <w:proofErr w:type="spellEnd"/>
      <w:r w:rsidRPr="00E77261">
        <w:rPr>
          <w:rFonts w:ascii="Arial" w:hAnsi="Arial" w:cs="Arial"/>
          <w:sz w:val="27"/>
          <w:szCs w:val="27"/>
        </w:rPr>
        <w:t xml:space="preserve"> 1689, 415 50 Teplice, </w:t>
      </w:r>
      <w:r w:rsidRPr="00E77261">
        <w:rPr>
          <w:rFonts w:ascii="Arial" w:hAnsi="Arial" w:cs="Arial"/>
          <w:b/>
          <w:sz w:val="27"/>
          <w:szCs w:val="27"/>
        </w:rPr>
        <w:t>je nutné</w:t>
      </w:r>
      <w:r w:rsidRPr="00E77261">
        <w:rPr>
          <w:rFonts w:ascii="Arial" w:hAnsi="Arial" w:cs="Arial"/>
          <w:sz w:val="27"/>
          <w:szCs w:val="27"/>
        </w:rPr>
        <w:t xml:space="preserve"> přeložku v případě budoucího předání do majetku SVS a provozování společností SčVK, IČO 49099451, se sídlem </w:t>
      </w:r>
      <w:proofErr w:type="spellStart"/>
      <w:r w:rsidRPr="00E77261">
        <w:rPr>
          <w:rFonts w:ascii="Arial" w:hAnsi="Arial" w:cs="Arial"/>
          <w:sz w:val="27"/>
          <w:szCs w:val="27"/>
        </w:rPr>
        <w:t>Přítkovská</w:t>
      </w:r>
      <w:proofErr w:type="spellEnd"/>
      <w:r w:rsidRPr="00E77261">
        <w:rPr>
          <w:rFonts w:ascii="Arial" w:hAnsi="Arial" w:cs="Arial"/>
          <w:sz w:val="27"/>
          <w:szCs w:val="27"/>
        </w:rPr>
        <w:t xml:space="preserve"> 1689, 415 50 Teplice </w:t>
      </w:r>
      <w:r w:rsidRPr="00E77261">
        <w:rPr>
          <w:rFonts w:ascii="Arial" w:hAnsi="Arial" w:cs="Arial"/>
          <w:b/>
          <w:sz w:val="27"/>
          <w:szCs w:val="27"/>
        </w:rPr>
        <w:t>projednat v Majetkové komisi SVS</w:t>
      </w:r>
      <w:r w:rsidRPr="00E77261">
        <w:rPr>
          <w:rFonts w:ascii="Arial" w:hAnsi="Arial" w:cs="Arial"/>
          <w:sz w:val="27"/>
          <w:szCs w:val="27"/>
        </w:rPr>
        <w:t xml:space="preserve"> doporučujeme nejlépe v období před zahájením řízení dle § 184 zákona č. 283/2021 Sb., stavební zákon, ve znění pozdějších předpisů. Příslušné formuláře jsou k dispozici na </w:t>
      </w:r>
      <w:r w:rsidRPr="00E77261">
        <w:rPr>
          <w:rStyle w:val="Hypertextovodkaz"/>
          <w:rFonts w:ascii="Arial" w:hAnsi="Arial" w:cs="Arial"/>
          <w:sz w:val="27"/>
          <w:szCs w:val="27"/>
        </w:rPr>
        <w:t>www.svs.cz.</w:t>
      </w:r>
      <w:r w:rsidRPr="00E77261">
        <w:rPr>
          <w:rFonts w:ascii="Arial" w:hAnsi="Arial" w:cs="Arial"/>
          <w:sz w:val="27"/>
          <w:szCs w:val="27"/>
        </w:rPr>
        <w:t xml:space="preserve">  Žádosti je nutné adresovat na příslušného provozního inspektora SVS</w:t>
      </w:r>
      <w:r w:rsidRPr="00E77261">
        <w:rPr>
          <w:rFonts w:ascii="Arial" w:hAnsi="Arial" w:cs="Arial"/>
          <w:color w:val="FF0000"/>
          <w:sz w:val="27"/>
          <w:szCs w:val="27"/>
        </w:rPr>
        <w:t xml:space="preserve"> </w:t>
      </w:r>
      <w:r w:rsidRPr="00E77261">
        <w:rPr>
          <w:rFonts w:ascii="Arial" w:hAnsi="Arial" w:cs="Arial"/>
          <w:sz w:val="27"/>
          <w:szCs w:val="27"/>
        </w:rPr>
        <w:t xml:space="preserve">který(á) je oprávněn(a) v této věci SVS zastupovat. </w:t>
      </w:r>
    </w:p>
    <w:p w:rsidR="00E77261" w:rsidRPr="00E77261" w:rsidRDefault="00E77261" w:rsidP="00E77261">
      <w:pPr>
        <w:numPr>
          <w:ilvl w:val="1"/>
          <w:numId w:val="5"/>
        </w:numPr>
        <w:spacing w:after="0" w:line="240" w:lineRule="auto"/>
        <w:jc w:val="both"/>
        <w:outlineLvl w:val="0"/>
        <w:rPr>
          <w:rFonts w:ascii="Arial" w:hAnsi="Arial" w:cs="Arial"/>
          <w:sz w:val="27"/>
          <w:szCs w:val="27"/>
          <w:u w:val="single"/>
        </w:rPr>
      </w:pPr>
      <w:r w:rsidRPr="00E77261">
        <w:rPr>
          <w:rFonts w:ascii="Arial" w:hAnsi="Arial" w:cs="Arial"/>
          <w:sz w:val="27"/>
          <w:szCs w:val="27"/>
          <w:u w:val="single"/>
        </w:rPr>
        <w:t>Podklady k projednání v Majetkové komisi SVS jsou:</w:t>
      </w:r>
    </w:p>
    <w:p w:rsidR="00E77261" w:rsidRPr="00E77261" w:rsidRDefault="00E77261" w:rsidP="00E77261">
      <w:pPr>
        <w:numPr>
          <w:ilvl w:val="2"/>
          <w:numId w:val="5"/>
        </w:numPr>
        <w:spacing w:after="0" w:line="240" w:lineRule="auto"/>
        <w:jc w:val="both"/>
        <w:outlineLvl w:val="0"/>
        <w:rPr>
          <w:rFonts w:ascii="Arial" w:hAnsi="Arial" w:cs="Arial"/>
          <w:sz w:val="27"/>
          <w:szCs w:val="27"/>
          <w:u w:val="single"/>
        </w:rPr>
      </w:pPr>
      <w:r w:rsidRPr="00E77261">
        <w:rPr>
          <w:rFonts w:ascii="Arial" w:hAnsi="Arial" w:cs="Arial"/>
          <w:sz w:val="27"/>
          <w:szCs w:val="27"/>
        </w:rPr>
        <w:t xml:space="preserve">Projektová dokumentace navrhovaného zkapacitnění </w:t>
      </w:r>
      <w:r w:rsidRPr="00E77261">
        <w:rPr>
          <w:rFonts w:ascii="Arial" w:hAnsi="Arial" w:cs="Arial"/>
          <w:b/>
          <w:sz w:val="27"/>
          <w:szCs w:val="27"/>
        </w:rPr>
        <w:t>schválená provozovatelem SčVK</w:t>
      </w:r>
      <w:r w:rsidRPr="00E77261">
        <w:rPr>
          <w:rFonts w:ascii="Arial" w:hAnsi="Arial" w:cs="Arial"/>
          <w:sz w:val="27"/>
          <w:szCs w:val="27"/>
        </w:rPr>
        <w:t xml:space="preserve">: </w:t>
      </w:r>
    </w:p>
    <w:p w:rsidR="00E77261" w:rsidRPr="00E77261" w:rsidRDefault="00E77261" w:rsidP="00E77261">
      <w:pPr>
        <w:numPr>
          <w:ilvl w:val="2"/>
          <w:numId w:val="5"/>
        </w:numPr>
        <w:spacing w:after="0" w:line="240" w:lineRule="auto"/>
        <w:jc w:val="both"/>
        <w:outlineLvl w:val="0"/>
        <w:rPr>
          <w:rFonts w:ascii="Arial" w:hAnsi="Arial" w:cs="Arial"/>
          <w:sz w:val="27"/>
          <w:szCs w:val="27"/>
        </w:rPr>
      </w:pPr>
      <w:r w:rsidRPr="00E77261">
        <w:rPr>
          <w:rFonts w:ascii="Arial" w:hAnsi="Arial" w:cs="Arial"/>
          <w:b/>
          <w:sz w:val="27"/>
          <w:szCs w:val="27"/>
        </w:rPr>
        <w:t>Záborové elaboráty</w:t>
      </w:r>
      <w:r w:rsidRPr="00E77261">
        <w:rPr>
          <w:rFonts w:ascii="Arial" w:hAnsi="Arial" w:cs="Arial"/>
          <w:sz w:val="27"/>
          <w:szCs w:val="27"/>
        </w:rPr>
        <w:t xml:space="preserve"> v rozsahu stavbou dotčených pozemků včetně ochranného pásma, jako podklad pro uzavření Budoucích věcných </w:t>
      </w:r>
      <w:r w:rsidRPr="00E77261">
        <w:rPr>
          <w:rFonts w:ascii="Arial" w:hAnsi="Arial" w:cs="Arial"/>
          <w:sz w:val="27"/>
          <w:szCs w:val="27"/>
        </w:rPr>
        <w:lastRenderedPageBreak/>
        <w:t xml:space="preserve">břemen služebnosti inženýrské sítě (dále jen BVB SIS) a záborové elaboráty v rozsahu stavbou dotčených pozemků včetně ochranného pásma VH objektů, jako podklad pro uzavření budoucí kupní smlouvy. </w:t>
      </w:r>
    </w:p>
    <w:p w:rsidR="00E77261" w:rsidRPr="00E77261" w:rsidRDefault="00E77261" w:rsidP="00E77261">
      <w:pPr>
        <w:numPr>
          <w:ilvl w:val="2"/>
          <w:numId w:val="5"/>
        </w:numPr>
        <w:spacing w:after="0" w:line="240" w:lineRule="auto"/>
        <w:jc w:val="both"/>
        <w:outlineLvl w:val="0"/>
        <w:rPr>
          <w:rFonts w:ascii="Arial" w:hAnsi="Arial" w:cs="Arial"/>
          <w:sz w:val="27"/>
          <w:szCs w:val="27"/>
        </w:rPr>
      </w:pPr>
      <w:r w:rsidRPr="00E77261">
        <w:rPr>
          <w:rFonts w:ascii="Arial" w:hAnsi="Arial" w:cs="Arial"/>
          <w:b/>
          <w:sz w:val="27"/>
          <w:szCs w:val="27"/>
        </w:rPr>
        <w:t>Uzavřené budoucí smlouvy o zřízení služebnosti inženýrské sítě</w:t>
      </w:r>
      <w:r w:rsidRPr="00E77261">
        <w:rPr>
          <w:rFonts w:ascii="Arial" w:hAnsi="Arial" w:cs="Arial"/>
          <w:sz w:val="27"/>
          <w:szCs w:val="27"/>
        </w:rPr>
        <w:t xml:space="preserve"> (práva věcného břemene), kdy uzavření předchází podmínka schválení záborových elaborátů dle předchozího odstavce. Ve věci uzavření těchto budoucích smluv o zřízení služebnosti inženýrské sítě (věcného břemene) kontaktujte pana Bc. Patrika Nováka, který je oprávněn za SVS v této věci jednat, prostřednictvím emailové adresy patrik.novak@svs.cz, datové schránky 7egf9my nebo prostřednictvím tel: 417 808 548.</w:t>
      </w:r>
    </w:p>
    <w:p w:rsidR="00E77261" w:rsidRPr="00E77261" w:rsidRDefault="00E77261" w:rsidP="00E77261">
      <w:pPr>
        <w:numPr>
          <w:ilvl w:val="2"/>
          <w:numId w:val="5"/>
        </w:numPr>
        <w:spacing w:after="0" w:line="240" w:lineRule="auto"/>
        <w:jc w:val="both"/>
        <w:outlineLvl w:val="0"/>
        <w:rPr>
          <w:rFonts w:ascii="Arial" w:hAnsi="Arial" w:cs="Arial"/>
          <w:sz w:val="27"/>
          <w:szCs w:val="27"/>
        </w:rPr>
      </w:pPr>
      <w:r w:rsidRPr="00E77261">
        <w:rPr>
          <w:rFonts w:ascii="Arial" w:hAnsi="Arial" w:cs="Arial"/>
          <w:sz w:val="27"/>
          <w:szCs w:val="27"/>
        </w:rPr>
        <w:t xml:space="preserve">Stavby zkapacitnění vodovodů a kanalizací se řídí dle zákona č. 274/2001 Sb., o vodovodech a kanalizacích pro veřejnou potřebu a o změně některých zákonů (zákon o vodovodech a kanalizacích), ve znění pozdějších předpisů, ust. § 24 odst. 1–5, kdy vlastnictví vodovodu nebo kanalizace se po provedení zkapacitnění nemění. Z tohoto důvodu je nutné uzavřít </w:t>
      </w:r>
      <w:r w:rsidRPr="00E77261">
        <w:rPr>
          <w:rFonts w:ascii="Arial" w:hAnsi="Arial" w:cs="Arial"/>
          <w:b/>
          <w:sz w:val="27"/>
          <w:szCs w:val="27"/>
        </w:rPr>
        <w:t>Smlouvu o podmínkách zkapacitnění VHI,</w:t>
      </w:r>
      <w:r w:rsidRPr="00E77261">
        <w:rPr>
          <w:rFonts w:ascii="Arial" w:hAnsi="Arial" w:cs="Arial"/>
          <w:sz w:val="27"/>
          <w:szCs w:val="27"/>
        </w:rPr>
        <w:t xml:space="preserve"> která svým rozsahem investora zmocní pro účely provedení zkapacitnění stávající VHI.  </w:t>
      </w:r>
      <w:r w:rsidRPr="00E77261">
        <w:rPr>
          <w:rFonts w:ascii="Arial" w:hAnsi="Arial" w:cs="Arial"/>
          <w:b/>
          <w:sz w:val="27"/>
          <w:szCs w:val="27"/>
        </w:rPr>
        <w:t xml:space="preserve">Žádost o zkapacitnění VHI </w:t>
      </w:r>
      <w:r w:rsidRPr="00E77261">
        <w:rPr>
          <w:rFonts w:ascii="Arial" w:hAnsi="Arial" w:cs="Arial"/>
          <w:sz w:val="27"/>
          <w:szCs w:val="27"/>
        </w:rPr>
        <w:t xml:space="preserve">– formulář je k dispozici na </w:t>
      </w:r>
      <w:hyperlink r:id="rId9" w:history="1">
        <w:r w:rsidRPr="00E77261">
          <w:rPr>
            <w:rStyle w:val="Hypertextovodkaz"/>
            <w:rFonts w:ascii="Arial" w:hAnsi="Arial" w:cs="Arial"/>
            <w:sz w:val="27"/>
            <w:szCs w:val="27"/>
          </w:rPr>
          <w:t>www.svs.cz</w:t>
        </w:r>
      </w:hyperlink>
      <w:r w:rsidRPr="00E77261">
        <w:rPr>
          <w:rFonts w:ascii="Arial" w:hAnsi="Arial" w:cs="Arial"/>
          <w:sz w:val="27"/>
          <w:szCs w:val="27"/>
        </w:rPr>
        <w:t>, kdy ve věci podání žádosti je nutné se obrátit na příslušného provozního inspektora SVS. Smlouva o přeložce je uzavřena po kladném projednání stavby přeložky v MK SVS na základě investorem podané Žádosti o souhlas s přeložkou VHI.</w:t>
      </w:r>
    </w:p>
    <w:p w:rsidR="00E77261" w:rsidRPr="00E77261" w:rsidRDefault="00E77261" w:rsidP="00E77261">
      <w:pPr>
        <w:rPr>
          <w:rFonts w:ascii="Arial" w:hAnsi="Arial" w:cs="Arial"/>
          <w:sz w:val="27"/>
          <w:szCs w:val="27"/>
        </w:rPr>
      </w:pPr>
    </w:p>
    <w:p w:rsidR="00E77261" w:rsidRPr="00E77261" w:rsidRDefault="00E77261" w:rsidP="00D00AA7">
      <w:pPr>
        <w:pStyle w:val="Odstavecseseznamem"/>
        <w:shd w:val="clear" w:color="auto" w:fill="FFFFFF"/>
        <w:spacing w:after="525" w:line="240" w:lineRule="auto"/>
        <w:ind w:left="644"/>
        <w:jc w:val="both"/>
        <w:rPr>
          <w:rFonts w:ascii="Arial" w:eastAsia="Times New Roman" w:hAnsi="Arial" w:cs="Arial"/>
          <w:color w:val="333333"/>
          <w:sz w:val="27"/>
          <w:szCs w:val="27"/>
          <w:lang w:eastAsia="cs-CZ"/>
        </w:rPr>
      </w:pPr>
    </w:p>
    <w:p w:rsidR="00E77261" w:rsidRDefault="00E77261" w:rsidP="00D00AA7">
      <w:pPr>
        <w:pStyle w:val="Odstavecseseznamem"/>
        <w:shd w:val="clear" w:color="auto" w:fill="FFFFFF"/>
        <w:spacing w:after="525" w:line="240" w:lineRule="auto"/>
        <w:ind w:left="644"/>
        <w:jc w:val="both"/>
        <w:rPr>
          <w:rFonts w:ascii="Arial" w:eastAsia="Times New Roman" w:hAnsi="Arial" w:cs="Arial"/>
          <w:color w:val="333333"/>
          <w:sz w:val="27"/>
          <w:szCs w:val="27"/>
          <w:lang w:eastAsia="cs-CZ"/>
        </w:rPr>
      </w:pPr>
    </w:p>
    <w:p w:rsidR="00E77261" w:rsidRDefault="00E77261" w:rsidP="00D00AA7">
      <w:pPr>
        <w:pStyle w:val="Odstavecseseznamem"/>
        <w:shd w:val="clear" w:color="auto" w:fill="FFFFFF"/>
        <w:spacing w:after="525" w:line="240" w:lineRule="auto"/>
        <w:ind w:left="644"/>
        <w:jc w:val="both"/>
        <w:rPr>
          <w:rFonts w:ascii="Arial" w:eastAsia="Times New Roman" w:hAnsi="Arial" w:cs="Arial"/>
          <w:color w:val="333333"/>
          <w:sz w:val="27"/>
          <w:szCs w:val="27"/>
          <w:lang w:eastAsia="cs-CZ"/>
        </w:rPr>
      </w:pPr>
    </w:p>
    <w:p w:rsidR="00E77261" w:rsidRDefault="00E77261" w:rsidP="00D00AA7">
      <w:pPr>
        <w:pStyle w:val="Odstavecseseznamem"/>
        <w:shd w:val="clear" w:color="auto" w:fill="FFFFFF"/>
        <w:spacing w:after="525" w:line="240" w:lineRule="auto"/>
        <w:ind w:left="644"/>
        <w:jc w:val="both"/>
        <w:rPr>
          <w:rFonts w:ascii="Arial" w:eastAsia="Times New Roman" w:hAnsi="Arial" w:cs="Arial"/>
          <w:color w:val="333333"/>
          <w:sz w:val="27"/>
          <w:szCs w:val="27"/>
          <w:lang w:eastAsia="cs-CZ"/>
        </w:rPr>
      </w:pPr>
    </w:p>
    <w:p w:rsidR="00671BA8" w:rsidRPr="00D00AA7" w:rsidRDefault="00050938">
      <w:pPr>
        <w:rPr>
          <w:rFonts w:ascii="Arial" w:hAnsi="Arial" w:cs="Arial"/>
        </w:rPr>
      </w:pPr>
    </w:p>
    <w:sectPr w:rsidR="00671BA8" w:rsidRPr="00D00A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7B55"/>
    <w:multiLevelType w:val="multilevel"/>
    <w:tmpl w:val="A8DCAE10"/>
    <w:lvl w:ilvl="0">
      <w:start w:val="1"/>
      <w:numFmt w:val="decimal"/>
      <w:lvlText w:val="%1."/>
      <w:lvlJc w:val="left"/>
      <w:pPr>
        <w:ind w:left="644" w:hanging="360"/>
      </w:pPr>
      <w:rPr>
        <w:rFonts w:ascii="Arial" w:eastAsia="Calibri" w:hAnsi="Arial" w:cs="Arial" w:hint="default"/>
        <w:b/>
        <w:i w:val="0"/>
        <w:color w:val="auto"/>
        <w:sz w:val="24"/>
        <w:szCs w:val="24"/>
      </w:rPr>
    </w:lvl>
    <w:lvl w:ilvl="1">
      <w:start w:val="1"/>
      <w:numFmt w:val="decimal"/>
      <w:isLgl/>
      <w:lvlText w:val="%1.%2"/>
      <w:lvlJc w:val="left"/>
      <w:pPr>
        <w:ind w:left="644" w:hanging="360"/>
      </w:pPr>
      <w:rPr>
        <w:rFonts w:hint="default"/>
        <w:b w:val="0"/>
        <w:i w:val="0"/>
        <w:color w:val="auto"/>
        <w:sz w:val="20"/>
        <w:szCs w:val="20"/>
        <w:u w:val="none"/>
      </w:rPr>
    </w:lvl>
    <w:lvl w:ilvl="2">
      <w:start w:val="1"/>
      <w:numFmt w:val="decimal"/>
      <w:isLgl/>
      <w:lvlText w:val="%1.%2.%3"/>
      <w:lvlJc w:val="left"/>
      <w:pPr>
        <w:ind w:left="1004" w:hanging="720"/>
      </w:pPr>
      <w:rPr>
        <w:rFonts w:hint="default"/>
        <w:b w:val="0"/>
        <w:i w:val="0"/>
        <w:color w:val="auto"/>
        <w:sz w:val="20"/>
        <w:szCs w:val="20"/>
        <w:u w:val="none"/>
      </w:rPr>
    </w:lvl>
    <w:lvl w:ilvl="3">
      <w:start w:val="1"/>
      <w:numFmt w:val="decimal"/>
      <w:isLgl/>
      <w:lvlText w:val="%1.%2.%3.%4"/>
      <w:lvlJc w:val="left"/>
      <w:pPr>
        <w:ind w:left="1004" w:hanging="720"/>
      </w:pPr>
      <w:rPr>
        <w:rFonts w:hint="default"/>
        <w:b w:val="0"/>
        <w:color w:val="auto"/>
        <w:u w:val="none"/>
      </w:rPr>
    </w:lvl>
    <w:lvl w:ilvl="4">
      <w:start w:val="1"/>
      <w:numFmt w:val="decimal"/>
      <w:isLgl/>
      <w:lvlText w:val="%1.%2.%3.%4.%5"/>
      <w:lvlJc w:val="left"/>
      <w:pPr>
        <w:ind w:left="1004" w:hanging="720"/>
      </w:pPr>
      <w:rPr>
        <w:rFonts w:hint="default"/>
        <w:b w:val="0"/>
        <w:u w:val="none"/>
      </w:rPr>
    </w:lvl>
    <w:lvl w:ilvl="5">
      <w:start w:val="1"/>
      <w:numFmt w:val="decimal"/>
      <w:isLgl/>
      <w:lvlText w:val="%1.%2.%3.%4.%5.%6"/>
      <w:lvlJc w:val="left"/>
      <w:pPr>
        <w:ind w:left="1364" w:hanging="1080"/>
      </w:pPr>
      <w:rPr>
        <w:rFonts w:hint="default"/>
        <w:b w:val="0"/>
        <w:u w:val="none"/>
      </w:rPr>
    </w:lvl>
    <w:lvl w:ilvl="6">
      <w:start w:val="1"/>
      <w:numFmt w:val="decimal"/>
      <w:isLgl/>
      <w:lvlText w:val="%1.%2.%3.%4.%5.%6.%7"/>
      <w:lvlJc w:val="left"/>
      <w:pPr>
        <w:ind w:left="1364" w:hanging="1080"/>
      </w:pPr>
      <w:rPr>
        <w:rFonts w:hint="default"/>
        <w:b w:val="0"/>
        <w:u w:val="none"/>
      </w:rPr>
    </w:lvl>
    <w:lvl w:ilvl="7">
      <w:start w:val="1"/>
      <w:numFmt w:val="decimal"/>
      <w:isLgl/>
      <w:lvlText w:val="%1.%2.%3.%4.%5.%6.%7.%8"/>
      <w:lvlJc w:val="left"/>
      <w:pPr>
        <w:ind w:left="1724" w:hanging="1440"/>
      </w:pPr>
      <w:rPr>
        <w:rFonts w:hint="default"/>
        <w:b w:val="0"/>
        <w:u w:val="none"/>
      </w:rPr>
    </w:lvl>
    <w:lvl w:ilvl="8">
      <w:start w:val="1"/>
      <w:numFmt w:val="decimal"/>
      <w:isLgl/>
      <w:lvlText w:val="%1.%2.%3.%4.%5.%6.%7.%8.%9"/>
      <w:lvlJc w:val="left"/>
      <w:pPr>
        <w:ind w:left="1724" w:hanging="1440"/>
      </w:pPr>
      <w:rPr>
        <w:rFonts w:hint="default"/>
        <w:b w:val="0"/>
        <w:u w:val="none"/>
      </w:rPr>
    </w:lvl>
  </w:abstractNum>
  <w:abstractNum w:abstractNumId="1" w15:restartNumberingAfterBreak="0">
    <w:nsid w:val="023854A7"/>
    <w:multiLevelType w:val="hybridMultilevel"/>
    <w:tmpl w:val="881AB5D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5E47F3"/>
    <w:multiLevelType w:val="hybridMultilevel"/>
    <w:tmpl w:val="641624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7BC3CCF"/>
    <w:multiLevelType w:val="multilevel"/>
    <w:tmpl w:val="AB52EE82"/>
    <w:lvl w:ilvl="0">
      <w:start w:val="1"/>
      <w:numFmt w:val="decimal"/>
      <w:lvlText w:val="%1."/>
      <w:lvlJc w:val="left"/>
      <w:pPr>
        <w:ind w:left="644" w:hanging="360"/>
      </w:pPr>
      <w:rPr>
        <w:rFonts w:ascii="Arial" w:eastAsia="Calibri" w:hAnsi="Arial" w:cs="Arial" w:hint="default"/>
        <w:b/>
        <w:i w:val="0"/>
        <w:color w:val="auto"/>
        <w:sz w:val="27"/>
        <w:szCs w:val="27"/>
      </w:rPr>
    </w:lvl>
    <w:lvl w:ilvl="1">
      <w:start w:val="1"/>
      <w:numFmt w:val="decimal"/>
      <w:isLgl/>
      <w:lvlText w:val="%1.%2"/>
      <w:lvlJc w:val="left"/>
      <w:pPr>
        <w:ind w:left="644" w:hanging="360"/>
      </w:pPr>
      <w:rPr>
        <w:rFonts w:hint="default"/>
        <w:b w:val="0"/>
        <w:i w:val="0"/>
        <w:color w:val="auto"/>
        <w:sz w:val="27"/>
        <w:szCs w:val="27"/>
        <w:u w:val="none"/>
      </w:rPr>
    </w:lvl>
    <w:lvl w:ilvl="2">
      <w:start w:val="1"/>
      <w:numFmt w:val="decimal"/>
      <w:isLgl/>
      <w:lvlText w:val="%1.%2.%3"/>
      <w:lvlJc w:val="left"/>
      <w:pPr>
        <w:ind w:left="1004" w:hanging="720"/>
      </w:pPr>
      <w:rPr>
        <w:rFonts w:hint="default"/>
        <w:b w:val="0"/>
        <w:i w:val="0"/>
        <w:color w:val="auto"/>
        <w:sz w:val="27"/>
        <w:szCs w:val="27"/>
        <w:u w:val="none"/>
      </w:rPr>
    </w:lvl>
    <w:lvl w:ilvl="3">
      <w:start w:val="1"/>
      <w:numFmt w:val="decimal"/>
      <w:isLgl/>
      <w:lvlText w:val="%1.%2.%3.%4"/>
      <w:lvlJc w:val="left"/>
      <w:pPr>
        <w:ind w:left="1004" w:hanging="720"/>
      </w:pPr>
      <w:rPr>
        <w:rFonts w:hint="default"/>
        <w:b w:val="0"/>
        <w:color w:val="auto"/>
        <w:u w:val="none"/>
      </w:rPr>
    </w:lvl>
    <w:lvl w:ilvl="4">
      <w:start w:val="1"/>
      <w:numFmt w:val="decimal"/>
      <w:isLgl/>
      <w:lvlText w:val="%1.%2.%3.%4.%5"/>
      <w:lvlJc w:val="left"/>
      <w:pPr>
        <w:ind w:left="1004" w:hanging="720"/>
      </w:pPr>
      <w:rPr>
        <w:rFonts w:hint="default"/>
        <w:b w:val="0"/>
        <w:u w:val="none"/>
      </w:rPr>
    </w:lvl>
    <w:lvl w:ilvl="5">
      <w:start w:val="1"/>
      <w:numFmt w:val="decimal"/>
      <w:isLgl/>
      <w:lvlText w:val="%1.%2.%3.%4.%5.%6"/>
      <w:lvlJc w:val="left"/>
      <w:pPr>
        <w:ind w:left="1364" w:hanging="1080"/>
      </w:pPr>
      <w:rPr>
        <w:rFonts w:hint="default"/>
        <w:b w:val="0"/>
        <w:u w:val="none"/>
      </w:rPr>
    </w:lvl>
    <w:lvl w:ilvl="6">
      <w:start w:val="1"/>
      <w:numFmt w:val="decimal"/>
      <w:isLgl/>
      <w:lvlText w:val="%1.%2.%3.%4.%5.%6.%7"/>
      <w:lvlJc w:val="left"/>
      <w:pPr>
        <w:ind w:left="1364" w:hanging="1080"/>
      </w:pPr>
      <w:rPr>
        <w:rFonts w:hint="default"/>
        <w:b w:val="0"/>
        <w:u w:val="none"/>
      </w:rPr>
    </w:lvl>
    <w:lvl w:ilvl="7">
      <w:start w:val="1"/>
      <w:numFmt w:val="decimal"/>
      <w:isLgl/>
      <w:lvlText w:val="%1.%2.%3.%4.%5.%6.%7.%8"/>
      <w:lvlJc w:val="left"/>
      <w:pPr>
        <w:ind w:left="1724" w:hanging="1440"/>
      </w:pPr>
      <w:rPr>
        <w:rFonts w:hint="default"/>
        <w:b w:val="0"/>
        <w:u w:val="none"/>
      </w:rPr>
    </w:lvl>
    <w:lvl w:ilvl="8">
      <w:start w:val="1"/>
      <w:numFmt w:val="decimal"/>
      <w:isLgl/>
      <w:lvlText w:val="%1.%2.%3.%4.%5.%6.%7.%8.%9"/>
      <w:lvlJc w:val="left"/>
      <w:pPr>
        <w:ind w:left="1724" w:hanging="1440"/>
      </w:pPr>
      <w:rPr>
        <w:rFonts w:hint="default"/>
        <w:b w:val="0"/>
        <w:u w:val="none"/>
      </w:rPr>
    </w:lvl>
  </w:abstractNum>
  <w:abstractNum w:abstractNumId="4" w15:restartNumberingAfterBreak="0">
    <w:nsid w:val="4C97077C"/>
    <w:multiLevelType w:val="hybridMultilevel"/>
    <w:tmpl w:val="C7AEF6F4"/>
    <w:lvl w:ilvl="0" w:tplc="BC4C28DC">
      <w:numFmt w:val="bullet"/>
      <w:lvlText w:val="-"/>
      <w:lvlJc w:val="left"/>
      <w:pPr>
        <w:ind w:left="786" w:hanging="360"/>
      </w:pPr>
      <w:rPr>
        <w:rFonts w:ascii="Arial" w:eastAsia="Calibri" w:hAnsi="Arial" w:cs="Arial" w:hint="default"/>
        <w:u w:val="none"/>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7DBE30C6"/>
    <w:multiLevelType w:val="hybridMultilevel"/>
    <w:tmpl w:val="9B7A3D7C"/>
    <w:lvl w:ilvl="0" w:tplc="1C568576">
      <w:start w:val="4"/>
      <w:numFmt w:val="bullet"/>
      <w:lvlText w:val="-"/>
      <w:lvlJc w:val="left"/>
      <w:pPr>
        <w:ind w:left="1353" w:hanging="360"/>
      </w:pPr>
      <w:rPr>
        <w:rFonts w:ascii="Calibri" w:eastAsia="Calibri" w:hAnsi="Calibri" w:cs="Calibri"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482"/>
    <w:rsid w:val="00050938"/>
    <w:rsid w:val="00191EF7"/>
    <w:rsid w:val="001929DE"/>
    <w:rsid w:val="001C367A"/>
    <w:rsid w:val="004A6317"/>
    <w:rsid w:val="004D10D8"/>
    <w:rsid w:val="006756CA"/>
    <w:rsid w:val="00754EAE"/>
    <w:rsid w:val="007741F1"/>
    <w:rsid w:val="00825272"/>
    <w:rsid w:val="00852C3C"/>
    <w:rsid w:val="00967F0B"/>
    <w:rsid w:val="009D1ADD"/>
    <w:rsid w:val="00B25C38"/>
    <w:rsid w:val="00C71C59"/>
    <w:rsid w:val="00D00AA7"/>
    <w:rsid w:val="00E53CE1"/>
    <w:rsid w:val="00E77261"/>
    <w:rsid w:val="00EC3A61"/>
    <w:rsid w:val="00FD44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A789C"/>
  <w15:chartTrackingRefBased/>
  <w15:docId w15:val="{8B56EDB7-C993-4AF4-BEA3-680EB074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FD44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FD448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FD448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D4482"/>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FD4482"/>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FD4482"/>
    <w:rPr>
      <w:rFonts w:ascii="Times New Roman" w:eastAsia="Times New Roman" w:hAnsi="Times New Roman" w:cs="Times New Roman"/>
      <w:b/>
      <w:bCs/>
      <w:sz w:val="27"/>
      <w:szCs w:val="27"/>
      <w:lang w:eastAsia="cs-CZ"/>
    </w:rPr>
  </w:style>
  <w:style w:type="character" w:styleId="Hypertextovodkaz">
    <w:name w:val="Hyperlink"/>
    <w:basedOn w:val="Standardnpsmoodstavce"/>
    <w:unhideWhenUsed/>
    <w:rsid w:val="00FD4482"/>
    <w:rPr>
      <w:color w:val="0000FF"/>
      <w:u w:val="single"/>
    </w:rPr>
  </w:style>
  <w:style w:type="character" w:styleId="Siln">
    <w:name w:val="Strong"/>
    <w:basedOn w:val="Standardnpsmoodstavce"/>
    <w:uiPriority w:val="22"/>
    <w:qFormat/>
    <w:rsid w:val="00FD4482"/>
    <w:rPr>
      <w:b/>
      <w:bCs/>
    </w:rPr>
  </w:style>
  <w:style w:type="paragraph" w:styleId="Normlnweb">
    <w:name w:val="Normal (Web)"/>
    <w:basedOn w:val="Normln"/>
    <w:uiPriority w:val="99"/>
    <w:semiHidden/>
    <w:unhideWhenUsed/>
    <w:rsid w:val="00FD448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756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47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vk.cz" TargetMode="External"/><Relationship Id="rId3" Type="http://schemas.openxmlformats.org/officeDocument/2006/relationships/settings" Target="settings.xml"/><Relationship Id="rId7" Type="http://schemas.openxmlformats.org/officeDocument/2006/relationships/hyperlink" Target="http://www.sv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cvk.cz" TargetMode="External"/><Relationship Id="rId11" Type="http://schemas.openxmlformats.org/officeDocument/2006/relationships/theme" Target="theme/theme1.xml"/><Relationship Id="rId5" Type="http://schemas.openxmlformats.org/officeDocument/2006/relationships/hyperlink" Target="mailto:info@scvk.c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v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5434</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Aschenbrennerová Petra Ing. Ph.D., LL.M.</dc:creator>
  <cp:keywords/>
  <dc:description/>
  <cp:lastModifiedBy>Aschenbrennerová Petra Ing. Ph.D., LL.M.</cp:lastModifiedBy>
  <cp:revision>3</cp:revision>
  <dcterms:created xsi:type="dcterms:W3CDTF">2024-12-05T08:55:00Z</dcterms:created>
  <dcterms:modified xsi:type="dcterms:W3CDTF">2024-12-05T08:55:00Z</dcterms:modified>
</cp:coreProperties>
</file>